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2F01" w14:textId="6D760D14" w:rsidR="00AC367A" w:rsidRPr="008178BF" w:rsidRDefault="00AC367A" w:rsidP="00AC367A">
      <w:pPr>
        <w:jc w:val="center"/>
        <w:rPr>
          <w:rFonts w:ascii="Calibri" w:hAnsi="Calibri" w:cs="Calibri"/>
          <w:b/>
          <w:bCs/>
          <w:sz w:val="40"/>
          <w:szCs w:val="40"/>
          <w:lang w:val="de-DE"/>
        </w:rPr>
      </w:pPr>
      <w:r w:rsidRPr="008178BF">
        <w:rPr>
          <w:rFonts w:ascii="Calibri" w:hAnsi="Calibri" w:cs="Calibri"/>
          <w:b/>
          <w:bCs/>
          <w:sz w:val="40"/>
          <w:szCs w:val="40"/>
        </w:rPr>
        <w:t>Grundprinzipien der Altersvorsorge</w:t>
      </w:r>
    </w:p>
    <w:p w14:paraId="17C796BF" w14:textId="77777777" w:rsidR="00AC367A" w:rsidRPr="008178BF" w:rsidRDefault="00AC367A" w:rsidP="00AC367A">
      <w:pPr>
        <w:jc w:val="center"/>
        <w:rPr>
          <w:rFonts w:ascii="Calibri" w:hAnsi="Calibri" w:cs="Calibri"/>
          <w:lang w:val="de-DE"/>
        </w:rPr>
      </w:pPr>
    </w:p>
    <w:p w14:paraId="5F4D5C0F" w14:textId="7245D3A7" w:rsidR="00AC367A" w:rsidRPr="008178BF" w:rsidRDefault="00AC367A" w:rsidP="008178BF">
      <w:pPr>
        <w:jc w:val="both"/>
        <w:rPr>
          <w:rFonts w:ascii="Calibri" w:hAnsi="Calibri" w:cs="Calibri"/>
          <w:sz w:val="24"/>
          <w:szCs w:val="24"/>
          <w:lang w:val="de-DE"/>
        </w:rPr>
      </w:pPr>
      <w:r w:rsidRPr="008178BF">
        <w:rPr>
          <w:rFonts w:ascii="Calibri" w:hAnsi="Calibri" w:cs="Calibri"/>
          <w:sz w:val="24"/>
          <w:szCs w:val="24"/>
        </w:rPr>
        <w:t>Eine solide Altersvorsorge basiert auf Diversifikation, steuerlicher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178BF">
        <w:rPr>
          <w:rFonts w:ascii="Calibri" w:hAnsi="Calibri" w:cs="Calibri"/>
          <w:sz w:val="24"/>
          <w:szCs w:val="24"/>
        </w:rPr>
        <w:t>Optimierung und individueller Risikosteuerung. Wichtig ist die Kombination aus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178BF">
        <w:rPr>
          <w:rFonts w:ascii="Calibri" w:hAnsi="Calibri" w:cs="Calibri"/>
          <w:sz w:val="24"/>
          <w:szCs w:val="24"/>
        </w:rPr>
        <w:t>klassischen Vorsorge</w:t>
      </w:r>
      <w:r w:rsidR="008178BF" w:rsidRPr="008178BF">
        <w:rPr>
          <w:rFonts w:ascii="Calibri" w:hAnsi="Calibri" w:cs="Calibri"/>
          <w:sz w:val="24"/>
          <w:szCs w:val="24"/>
          <w:lang w:val="de-DE"/>
        </w:rPr>
        <w:t>-</w:t>
      </w:r>
      <w:r w:rsidRPr="008178BF">
        <w:rPr>
          <w:rFonts w:ascii="Calibri" w:hAnsi="Calibri" w:cs="Calibri"/>
          <w:sz w:val="24"/>
          <w:szCs w:val="24"/>
        </w:rPr>
        <w:t>instrumenten und modernen Kapitalmarktanlagen</w:t>
      </w:r>
      <w:r w:rsidRPr="008178BF">
        <w:rPr>
          <w:rFonts w:ascii="Calibri" w:hAnsi="Calibri" w:cs="Calibri"/>
          <w:sz w:val="24"/>
          <w:szCs w:val="24"/>
          <w:lang w:val="de-DE"/>
        </w:rPr>
        <w:t>,</w:t>
      </w:r>
      <w:r w:rsidRPr="008178BF">
        <w:rPr>
          <w:rFonts w:ascii="Calibri" w:hAnsi="Calibri" w:cs="Calibri"/>
          <w:sz w:val="24"/>
          <w:szCs w:val="24"/>
        </w:rPr>
        <w:t xml:space="preserve"> abgestimmt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178BF">
        <w:rPr>
          <w:rFonts w:ascii="Calibri" w:hAnsi="Calibri" w:cs="Calibri"/>
          <w:sz w:val="24"/>
          <w:szCs w:val="24"/>
        </w:rPr>
        <w:t>auf Alter, Einkommen und Risikoprofil.</w:t>
      </w:r>
    </w:p>
    <w:p w14:paraId="40978705" w14:textId="77777777" w:rsidR="00AC367A" w:rsidRPr="008178BF" w:rsidRDefault="00AC367A" w:rsidP="008178BF">
      <w:pPr>
        <w:jc w:val="both"/>
        <w:rPr>
          <w:rFonts w:ascii="Calibri" w:hAnsi="Calibri" w:cs="Calibri"/>
          <w:sz w:val="24"/>
          <w:szCs w:val="24"/>
          <w:lang w:val="de-DE"/>
        </w:rPr>
      </w:pPr>
    </w:p>
    <w:p w14:paraId="35D18331" w14:textId="0065D830" w:rsidR="00AC367A" w:rsidRPr="008178BF" w:rsidRDefault="00AC367A" w:rsidP="008178B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178BF">
        <w:rPr>
          <w:rFonts w:ascii="Calibri" w:hAnsi="Calibri" w:cs="Calibri"/>
          <w:b/>
          <w:bCs/>
          <w:sz w:val="24"/>
          <w:szCs w:val="24"/>
        </w:rPr>
        <w:t>Angestellte Zahnärzte</w:t>
      </w:r>
    </w:p>
    <w:p w14:paraId="3218EDAC" w14:textId="20252DC9" w:rsidR="00AC367A" w:rsidRPr="008178BF" w:rsidRDefault="00AC367A" w:rsidP="008178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178BF">
        <w:rPr>
          <w:rFonts w:ascii="Calibri" w:hAnsi="Calibri" w:cs="Calibri"/>
          <w:b/>
          <w:bCs/>
          <w:sz w:val="24"/>
          <w:szCs w:val="24"/>
        </w:rPr>
        <w:t xml:space="preserve">Betriebliche Altersvorsorge (bAV): </w:t>
      </w:r>
      <w:r w:rsidRPr="008178BF">
        <w:rPr>
          <w:rFonts w:ascii="Calibri" w:hAnsi="Calibri" w:cs="Calibri"/>
          <w:sz w:val="24"/>
          <w:szCs w:val="24"/>
        </w:rPr>
        <w:t>Steuerlich gefördert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und</w:t>
      </w:r>
      <w:r w:rsidRPr="008178BF">
        <w:rPr>
          <w:rFonts w:ascii="Calibri" w:hAnsi="Calibri" w:cs="Calibri"/>
          <w:sz w:val="24"/>
          <w:szCs w:val="24"/>
        </w:rPr>
        <w:t xml:space="preserve"> mit Arbeitgeberzuschuss</w:t>
      </w:r>
    </w:p>
    <w:p w14:paraId="0B5D3827" w14:textId="77777777" w:rsidR="00AC367A" w:rsidRPr="008178BF" w:rsidRDefault="00AC367A" w:rsidP="008178BF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3B03E079" w14:textId="3F87C2A0" w:rsidR="00AC367A" w:rsidRPr="008178BF" w:rsidRDefault="00AC367A" w:rsidP="008178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178BF">
        <w:rPr>
          <w:rFonts w:ascii="Calibri" w:hAnsi="Calibri" w:cs="Calibri"/>
          <w:b/>
          <w:bCs/>
          <w:sz w:val="24"/>
          <w:szCs w:val="24"/>
        </w:rPr>
        <w:t>Rürup-Rente:</w:t>
      </w:r>
      <w:r w:rsidRPr="008178BF">
        <w:rPr>
          <w:rFonts w:ascii="Calibri" w:hAnsi="Calibri" w:cs="Calibri"/>
          <w:sz w:val="24"/>
          <w:szCs w:val="24"/>
        </w:rPr>
        <w:t xml:space="preserve"> Besonders geeignet für Zahnärzte mit hohem Einkommen durch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178BF">
        <w:rPr>
          <w:rFonts w:ascii="Calibri" w:hAnsi="Calibri" w:cs="Calibri"/>
          <w:sz w:val="24"/>
          <w:szCs w:val="24"/>
        </w:rPr>
        <w:t>steuerliche Absetzbarkeit</w:t>
      </w:r>
    </w:p>
    <w:p w14:paraId="48C14DE3" w14:textId="77777777" w:rsidR="00AC367A" w:rsidRPr="008178BF" w:rsidRDefault="00AC367A" w:rsidP="008178BF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473B0E71" w14:textId="0CEC9B71" w:rsidR="00AC367A" w:rsidRPr="008178BF" w:rsidRDefault="00AC367A" w:rsidP="008178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178BF">
        <w:rPr>
          <w:rFonts w:ascii="Calibri" w:hAnsi="Calibri" w:cs="Calibri"/>
          <w:b/>
          <w:bCs/>
          <w:sz w:val="24"/>
          <w:szCs w:val="24"/>
        </w:rPr>
        <w:t>ETF- &amp; Fondsdepots:</w:t>
      </w:r>
      <w:r w:rsidRPr="008178BF">
        <w:rPr>
          <w:rFonts w:ascii="Calibri" w:hAnsi="Calibri" w:cs="Calibri"/>
          <w:sz w:val="24"/>
          <w:szCs w:val="24"/>
        </w:rPr>
        <w:t xml:space="preserve"> Flexible, renditestarke Bausteine. Global diversifizierte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178BF">
        <w:rPr>
          <w:rFonts w:ascii="Calibri" w:hAnsi="Calibri" w:cs="Calibri"/>
          <w:sz w:val="24"/>
          <w:szCs w:val="24"/>
        </w:rPr>
        <w:t>ETF-Portfolios bieten langfristigen Vermögensaufbau.</w:t>
      </w:r>
    </w:p>
    <w:p w14:paraId="376C0CFD" w14:textId="77777777" w:rsidR="00AC367A" w:rsidRPr="008178BF" w:rsidRDefault="00AC367A" w:rsidP="008178BF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568F9DE9" w14:textId="536F0FBF" w:rsidR="00AC367A" w:rsidRPr="008178BF" w:rsidRDefault="00AC367A" w:rsidP="008178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178BF">
        <w:rPr>
          <w:rFonts w:ascii="Calibri" w:hAnsi="Calibri" w:cs="Calibri"/>
          <w:b/>
          <w:bCs/>
          <w:sz w:val="24"/>
          <w:szCs w:val="24"/>
        </w:rPr>
        <w:t>Physische Goldsparpläne:</w:t>
      </w:r>
      <w:r w:rsidRPr="008178BF">
        <w:rPr>
          <w:rFonts w:ascii="Calibri" w:hAnsi="Calibri" w:cs="Calibri"/>
          <w:sz w:val="24"/>
          <w:szCs w:val="24"/>
        </w:rPr>
        <w:t xml:space="preserve"> Eher als Inflationsschutz und zur Diversifikation geeignet.</w:t>
      </w:r>
    </w:p>
    <w:p w14:paraId="4D868E19" w14:textId="77777777" w:rsidR="00AC367A" w:rsidRPr="008178BF" w:rsidRDefault="00AC367A" w:rsidP="008178BF">
      <w:pPr>
        <w:jc w:val="both"/>
        <w:rPr>
          <w:rFonts w:ascii="Calibri" w:hAnsi="Calibri" w:cs="Calibri"/>
          <w:sz w:val="24"/>
          <w:szCs w:val="24"/>
          <w:lang w:val="de-DE"/>
        </w:rPr>
      </w:pPr>
    </w:p>
    <w:p w14:paraId="1C33FC80" w14:textId="02A2DD4C" w:rsidR="00AC367A" w:rsidRPr="008178BF" w:rsidRDefault="00AC367A" w:rsidP="008178BF">
      <w:pPr>
        <w:jc w:val="both"/>
        <w:rPr>
          <w:rFonts w:ascii="Calibri" w:hAnsi="Calibri" w:cs="Calibri"/>
          <w:sz w:val="24"/>
          <w:szCs w:val="24"/>
        </w:rPr>
      </w:pPr>
      <w:r w:rsidRPr="008178BF">
        <w:rPr>
          <w:rFonts w:ascii="Calibri" w:hAnsi="Calibri" w:cs="Calibri"/>
          <w:b/>
          <w:bCs/>
          <w:sz w:val="24"/>
          <w:szCs w:val="24"/>
        </w:rPr>
        <w:t>Selbständige Zahnärzte / Praxisinhaber</w:t>
      </w:r>
    </w:p>
    <w:p w14:paraId="3C8B102A" w14:textId="0A3C0612" w:rsidR="00AC367A" w:rsidRPr="008178BF" w:rsidRDefault="00AC367A" w:rsidP="008178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178BF">
        <w:rPr>
          <w:rFonts w:ascii="Calibri" w:hAnsi="Calibri" w:cs="Calibri"/>
          <w:b/>
          <w:bCs/>
          <w:sz w:val="24"/>
          <w:szCs w:val="24"/>
        </w:rPr>
        <w:t>Rürup-Rente:</w:t>
      </w:r>
      <w:r w:rsidRPr="008178BF">
        <w:rPr>
          <w:rFonts w:ascii="Calibri" w:hAnsi="Calibri" w:cs="Calibri"/>
          <w:sz w:val="24"/>
          <w:szCs w:val="24"/>
        </w:rPr>
        <w:t xml:space="preserve"> Besonders vorteilhaft für hohe Einkommen durch steuerliche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178BF">
        <w:rPr>
          <w:rFonts w:ascii="Calibri" w:hAnsi="Calibri" w:cs="Calibri"/>
          <w:sz w:val="24"/>
          <w:szCs w:val="24"/>
        </w:rPr>
        <w:t>Förderung.</w:t>
      </w:r>
    </w:p>
    <w:p w14:paraId="0A9D830B" w14:textId="77777777" w:rsidR="00AC367A" w:rsidRPr="008178BF" w:rsidRDefault="00AC367A" w:rsidP="008178BF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6A2CACA7" w14:textId="4412E44F" w:rsidR="00AC367A" w:rsidRPr="008178BF" w:rsidRDefault="00AC367A" w:rsidP="008178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178BF">
        <w:rPr>
          <w:rFonts w:ascii="Calibri" w:hAnsi="Calibri" w:cs="Calibri"/>
          <w:b/>
          <w:bCs/>
          <w:sz w:val="24"/>
          <w:szCs w:val="24"/>
          <w:lang w:val="de-DE"/>
        </w:rPr>
        <w:t xml:space="preserve">Schweizer </w:t>
      </w:r>
      <w:r w:rsidRPr="008178BF">
        <w:rPr>
          <w:rFonts w:ascii="Calibri" w:hAnsi="Calibri" w:cs="Calibri"/>
          <w:b/>
          <w:bCs/>
          <w:sz w:val="24"/>
          <w:szCs w:val="24"/>
        </w:rPr>
        <w:t>Vermögensverwaltung:</w:t>
      </w:r>
      <w:r w:rsidRPr="008178BF">
        <w:rPr>
          <w:rFonts w:ascii="Calibri" w:hAnsi="Calibri" w:cs="Calibri"/>
          <w:sz w:val="24"/>
          <w:szCs w:val="24"/>
        </w:rPr>
        <w:t xml:space="preserve"> Professionelle Betreuung ermöglicht internationale Diversifikation und Währungsstreuung.</w:t>
      </w:r>
    </w:p>
    <w:p w14:paraId="2D0EE7F9" w14:textId="77777777" w:rsidR="00AC367A" w:rsidRPr="008178BF" w:rsidRDefault="00AC367A" w:rsidP="008178BF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451A62EA" w14:textId="3F8D26C9" w:rsidR="00AC367A" w:rsidRPr="008178BF" w:rsidRDefault="00AC367A" w:rsidP="008178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178BF">
        <w:rPr>
          <w:rFonts w:ascii="Calibri" w:hAnsi="Calibri" w:cs="Calibri"/>
          <w:b/>
          <w:bCs/>
          <w:sz w:val="24"/>
          <w:szCs w:val="24"/>
        </w:rPr>
        <w:t>ETF-Portfolios &amp; Sachwerte:</w:t>
      </w:r>
      <w:r w:rsidRPr="008178BF">
        <w:rPr>
          <w:rFonts w:ascii="Calibri" w:hAnsi="Calibri" w:cs="Calibri"/>
          <w:sz w:val="24"/>
          <w:szCs w:val="24"/>
        </w:rPr>
        <w:t xml:space="preserve"> Kombination aus liquiden Anlagen, Immobilien und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178BF">
        <w:rPr>
          <w:rFonts w:ascii="Calibri" w:hAnsi="Calibri" w:cs="Calibri"/>
          <w:sz w:val="24"/>
          <w:szCs w:val="24"/>
        </w:rPr>
        <w:t>Edelmetallen für Stabilität und Rendite.</w:t>
      </w:r>
    </w:p>
    <w:p w14:paraId="7BB34D3D" w14:textId="77777777" w:rsidR="00AC367A" w:rsidRPr="008178BF" w:rsidRDefault="00AC367A" w:rsidP="008178BF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714F278F" w14:textId="4B4A0278" w:rsidR="00AC367A" w:rsidRPr="008178BF" w:rsidRDefault="00AC367A" w:rsidP="008178BF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178BF">
        <w:rPr>
          <w:rFonts w:ascii="Calibri" w:hAnsi="Calibri" w:cs="Calibri"/>
          <w:b/>
          <w:bCs/>
          <w:sz w:val="24"/>
          <w:szCs w:val="24"/>
        </w:rPr>
        <w:t xml:space="preserve">Praxis als Altersvorsorge: </w:t>
      </w:r>
      <w:r w:rsidRPr="008178BF">
        <w:rPr>
          <w:rFonts w:ascii="Calibri" w:hAnsi="Calibri" w:cs="Calibri"/>
          <w:sz w:val="24"/>
          <w:szCs w:val="24"/>
        </w:rPr>
        <w:t>Die eigene Praxis ist häufig der wertvollste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178BF">
        <w:rPr>
          <w:rFonts w:ascii="Calibri" w:hAnsi="Calibri" w:cs="Calibri"/>
          <w:sz w:val="24"/>
          <w:szCs w:val="24"/>
        </w:rPr>
        <w:t>Vermögensbaustein. Investitionen in Mitarbeiterbindung (bAV, bKV, Weiterbildung)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178BF">
        <w:rPr>
          <w:rFonts w:ascii="Calibri" w:hAnsi="Calibri" w:cs="Calibri"/>
          <w:sz w:val="24"/>
          <w:szCs w:val="24"/>
        </w:rPr>
        <w:t>erhöhen den Praxiswert und sichern langfristigen Erfolg.</w:t>
      </w:r>
      <w:r w:rsidR="008E0A7B" w:rsidRPr="008178BF">
        <w:rPr>
          <w:rFonts w:ascii="Calibri" w:hAnsi="Calibri" w:cs="Calibri"/>
          <w:sz w:val="24"/>
          <w:szCs w:val="24"/>
          <w:lang w:val="de-DE"/>
        </w:rPr>
        <w:t xml:space="preserve"> E</w:t>
      </w:r>
      <w:r w:rsidR="008E0A7B" w:rsidRPr="008178BF">
        <w:rPr>
          <w:rFonts w:ascii="Calibri" w:hAnsi="Calibri" w:cs="Calibri"/>
          <w:sz w:val="24"/>
          <w:szCs w:val="24"/>
          <w:lang w:val="de-DE"/>
        </w:rPr>
        <w:t xml:space="preserve">in funktionierendes Unternehmen hat zudem die deutlich bessere Chance auf einen erfolgreichen Verkauf. Gute Mitarbeiter sind dabei der </w:t>
      </w:r>
      <w:r w:rsidR="008E0A7B" w:rsidRPr="008178BF">
        <w:rPr>
          <w:rFonts w:ascii="Calibri" w:hAnsi="Calibri" w:cs="Calibri"/>
          <w:sz w:val="24"/>
          <w:szCs w:val="24"/>
          <w:lang w:val="de-DE"/>
        </w:rPr>
        <w:t>Schlüssel und</w:t>
      </w:r>
      <w:r w:rsidR="008E0A7B" w:rsidRPr="008178BF">
        <w:rPr>
          <w:rFonts w:ascii="Calibri" w:hAnsi="Calibri" w:cs="Calibri"/>
          <w:sz w:val="24"/>
          <w:szCs w:val="24"/>
          <w:lang w:val="de-DE"/>
        </w:rPr>
        <w:t xml:space="preserve"> um diese zu gewinnen und zu halten, braucht es einen tragenden Rahmen. Dazu gehört insbesondere eine betriebliche Krankenversicherung (</w:t>
      </w:r>
      <w:proofErr w:type="spellStart"/>
      <w:r w:rsidR="008E0A7B" w:rsidRPr="008178BF">
        <w:rPr>
          <w:rFonts w:ascii="Calibri" w:hAnsi="Calibri" w:cs="Calibri"/>
          <w:sz w:val="24"/>
          <w:szCs w:val="24"/>
          <w:lang w:val="de-DE"/>
        </w:rPr>
        <w:t>bKV</w:t>
      </w:r>
      <w:proofErr w:type="spellEnd"/>
      <w:r w:rsidR="008E0A7B" w:rsidRPr="008178BF">
        <w:rPr>
          <w:rFonts w:ascii="Calibri" w:hAnsi="Calibri" w:cs="Calibri"/>
          <w:sz w:val="24"/>
          <w:szCs w:val="24"/>
          <w:lang w:val="de-DE"/>
        </w:rPr>
        <w:t>), die bereits ab fünf Mitarbeitern möglich ist und sowohl die Mitarbeiterzufriedenheit als auch die Attraktivität der Praxis stärkt.</w:t>
      </w:r>
    </w:p>
    <w:p w14:paraId="6677049D" w14:textId="77777777" w:rsidR="008E0A7B" w:rsidRPr="008178BF" w:rsidRDefault="008E0A7B" w:rsidP="008178BF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6D7617AC" w14:textId="6DB85F77" w:rsidR="008E0A7B" w:rsidRPr="008178BF" w:rsidRDefault="008E0A7B" w:rsidP="008178BF">
      <w:pPr>
        <w:ind w:left="360"/>
        <w:jc w:val="both"/>
        <w:rPr>
          <w:rFonts w:ascii="Calibri" w:hAnsi="Calibri" w:cs="Calibri"/>
          <w:sz w:val="24"/>
          <w:szCs w:val="24"/>
          <w:lang w:val="de-DE"/>
        </w:rPr>
      </w:pPr>
      <w:r w:rsidRPr="008178BF">
        <w:rPr>
          <w:rFonts w:ascii="Calibri" w:hAnsi="Calibri" w:cs="Calibri"/>
          <w:b/>
          <w:bCs/>
          <w:sz w:val="24"/>
          <w:szCs w:val="24"/>
          <w:lang w:val="de-DE"/>
        </w:rPr>
        <w:t>Tipp: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Sehr gerne biete ich Ihnen ein neues Webinar zum Thema „</w:t>
      </w:r>
      <w:proofErr w:type="spellStart"/>
      <w:r w:rsidRPr="008178BF">
        <w:rPr>
          <w:rFonts w:ascii="Calibri" w:hAnsi="Calibri" w:cs="Calibri"/>
          <w:sz w:val="24"/>
          <w:szCs w:val="24"/>
          <w:lang w:val="de-DE"/>
        </w:rPr>
        <w:t>bKV</w:t>
      </w:r>
      <w:proofErr w:type="spellEnd"/>
      <w:r w:rsidRPr="008178BF">
        <w:rPr>
          <w:rFonts w:ascii="Calibri" w:hAnsi="Calibri" w:cs="Calibri"/>
          <w:sz w:val="24"/>
          <w:szCs w:val="24"/>
          <w:lang w:val="de-DE"/>
        </w:rPr>
        <w:t xml:space="preserve"> &amp; </w:t>
      </w:r>
      <w:proofErr w:type="spellStart"/>
      <w:r w:rsidRPr="008178BF">
        <w:rPr>
          <w:rFonts w:ascii="Calibri" w:hAnsi="Calibri" w:cs="Calibri"/>
          <w:sz w:val="24"/>
          <w:szCs w:val="24"/>
          <w:lang w:val="de-DE"/>
        </w:rPr>
        <w:t>bAV</w:t>
      </w:r>
      <w:proofErr w:type="spellEnd"/>
      <w:r w:rsidRPr="008178BF">
        <w:rPr>
          <w:rFonts w:ascii="Calibri" w:hAnsi="Calibri" w:cs="Calibri"/>
          <w:sz w:val="24"/>
          <w:szCs w:val="24"/>
          <w:lang w:val="de-DE"/>
        </w:rPr>
        <w:t xml:space="preserve"> in der </w:t>
      </w:r>
      <w:r w:rsidR="008178BF" w:rsidRPr="008178BF">
        <w:rPr>
          <w:rFonts w:ascii="Calibri" w:hAnsi="Calibri" w:cs="Calibri"/>
          <w:sz w:val="24"/>
          <w:szCs w:val="24"/>
          <w:lang w:val="de-DE"/>
        </w:rPr>
        <w:t xml:space="preserve">     </w:t>
      </w:r>
      <w:r w:rsidRPr="008178BF">
        <w:rPr>
          <w:rFonts w:ascii="Calibri" w:hAnsi="Calibri" w:cs="Calibri"/>
          <w:sz w:val="24"/>
          <w:szCs w:val="24"/>
          <w:lang w:val="de-DE"/>
        </w:rPr>
        <w:t>Zahnarztpraxis“ an. Dabei erfahren Sie, wie Sie die betriebliche Krankenversicherung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(</w:t>
      </w:r>
      <w:proofErr w:type="spellStart"/>
      <w:r w:rsidRPr="008178BF">
        <w:rPr>
          <w:rFonts w:ascii="Calibri" w:hAnsi="Calibri" w:cs="Calibri"/>
          <w:sz w:val="24"/>
          <w:szCs w:val="24"/>
          <w:lang w:val="de-DE"/>
        </w:rPr>
        <w:t>bKV</w:t>
      </w:r>
      <w:proofErr w:type="spellEnd"/>
      <w:r w:rsidRPr="008178BF">
        <w:rPr>
          <w:rFonts w:ascii="Calibri" w:hAnsi="Calibri" w:cs="Calibri"/>
          <w:sz w:val="24"/>
          <w:szCs w:val="24"/>
          <w:lang w:val="de-DE"/>
        </w:rPr>
        <w:t xml:space="preserve">) &amp; die 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betriebliche </w:t>
      </w:r>
      <w:r w:rsidRPr="008178BF">
        <w:rPr>
          <w:rFonts w:ascii="Calibri" w:hAnsi="Calibri" w:cs="Calibri"/>
          <w:sz w:val="24"/>
          <w:szCs w:val="24"/>
          <w:lang w:val="de-DE"/>
        </w:rPr>
        <w:t>Altersvorsorge (</w:t>
      </w:r>
      <w:proofErr w:type="spellStart"/>
      <w:r w:rsidRPr="008178BF">
        <w:rPr>
          <w:rFonts w:ascii="Calibri" w:hAnsi="Calibri" w:cs="Calibri"/>
          <w:sz w:val="24"/>
          <w:szCs w:val="24"/>
          <w:lang w:val="de-DE"/>
        </w:rPr>
        <w:t>bAV</w:t>
      </w:r>
      <w:proofErr w:type="spellEnd"/>
      <w:r w:rsidRPr="008178BF">
        <w:rPr>
          <w:rFonts w:ascii="Calibri" w:hAnsi="Calibri" w:cs="Calibri"/>
          <w:sz w:val="24"/>
          <w:szCs w:val="24"/>
          <w:lang w:val="de-DE"/>
        </w:rPr>
        <w:t>)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effektiv einsetzen können, um Ihr Praxisteam zu binden und den Wert Ihrer Praxis nachhaltig zu steigern.</w:t>
      </w:r>
    </w:p>
    <w:p w14:paraId="04AD7F88" w14:textId="1F42AAF9" w:rsidR="00AC367A" w:rsidRPr="008178BF" w:rsidRDefault="00AC367A" w:rsidP="008178B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178BF">
        <w:rPr>
          <w:rFonts w:ascii="Calibri" w:hAnsi="Calibri" w:cs="Calibri"/>
          <w:b/>
          <w:bCs/>
          <w:sz w:val="24"/>
          <w:szCs w:val="24"/>
        </w:rPr>
        <w:lastRenderedPageBreak/>
        <w:t>Altersabhängige Strukturierung &amp; Risikosteuerung</w:t>
      </w:r>
    </w:p>
    <w:p w14:paraId="7C10D779" w14:textId="2360AB33" w:rsidR="00AC367A" w:rsidRPr="008178BF" w:rsidRDefault="00AC367A" w:rsidP="008178BF">
      <w:pPr>
        <w:jc w:val="both"/>
        <w:rPr>
          <w:rFonts w:ascii="Calibri" w:hAnsi="Calibri" w:cs="Calibri"/>
          <w:sz w:val="24"/>
          <w:szCs w:val="24"/>
          <w:lang w:val="de-DE"/>
        </w:rPr>
      </w:pPr>
      <w:r w:rsidRPr="008178BF">
        <w:rPr>
          <w:rFonts w:ascii="Calibri" w:hAnsi="Calibri" w:cs="Calibri"/>
          <w:sz w:val="24"/>
          <w:szCs w:val="24"/>
        </w:rPr>
        <w:t>Je nach Lebensphase sollte das Vermögen in unterschiedliche Tranchen mit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178BF">
        <w:rPr>
          <w:rFonts w:ascii="Calibri" w:hAnsi="Calibri" w:cs="Calibri"/>
          <w:sz w:val="24"/>
          <w:szCs w:val="24"/>
        </w:rPr>
        <w:t>variierendem Risiko aufgeteilt werden. Jüngere Zahnärzte können stärker auf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178BF">
        <w:rPr>
          <w:rFonts w:ascii="Calibri" w:hAnsi="Calibri" w:cs="Calibri"/>
          <w:sz w:val="24"/>
          <w:szCs w:val="24"/>
        </w:rPr>
        <w:t>wachstumsorientierte Anlagen setzen, während mit zunehmendem Alter Stabilität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178BF">
        <w:rPr>
          <w:rFonts w:ascii="Calibri" w:hAnsi="Calibri" w:cs="Calibri"/>
          <w:sz w:val="24"/>
          <w:szCs w:val="24"/>
        </w:rPr>
        <w:t>und Liquidität wichtiger werden. Auch späte Einstiege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können sich noch</w:t>
      </w:r>
      <w:r w:rsidRPr="008178BF">
        <w:rPr>
          <w:rFonts w:ascii="Calibri" w:hAnsi="Calibri" w:cs="Calibri"/>
          <w:sz w:val="24"/>
          <w:szCs w:val="24"/>
        </w:rPr>
        <w:t xml:space="preserve"> lohnen</w:t>
      </w:r>
      <w:r w:rsidRPr="008178BF">
        <w:rPr>
          <w:rFonts w:ascii="Calibri" w:hAnsi="Calibri" w:cs="Calibri"/>
          <w:sz w:val="24"/>
          <w:szCs w:val="24"/>
          <w:lang w:val="de-DE"/>
        </w:rPr>
        <w:t>. Du</w:t>
      </w:r>
      <w:r w:rsidRPr="008178BF">
        <w:rPr>
          <w:rFonts w:ascii="Calibri" w:hAnsi="Calibri" w:cs="Calibri"/>
          <w:sz w:val="24"/>
          <w:szCs w:val="24"/>
        </w:rPr>
        <w:t>rch gestaffelte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178BF">
        <w:rPr>
          <w:rFonts w:ascii="Calibri" w:hAnsi="Calibri" w:cs="Calibri"/>
          <w:sz w:val="24"/>
          <w:szCs w:val="24"/>
        </w:rPr>
        <w:t xml:space="preserve">Laufzeiten und 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eine </w:t>
      </w:r>
      <w:r w:rsidRPr="008178BF">
        <w:rPr>
          <w:rFonts w:ascii="Calibri" w:hAnsi="Calibri" w:cs="Calibri"/>
          <w:sz w:val="24"/>
          <w:szCs w:val="24"/>
        </w:rPr>
        <w:t>ausgewogene Mischung lässt sich das Risiko effizient steuern.</w:t>
      </w:r>
    </w:p>
    <w:p w14:paraId="47535E6F" w14:textId="77777777" w:rsidR="00AC367A" w:rsidRPr="008178BF" w:rsidRDefault="00AC367A" w:rsidP="008178BF">
      <w:pPr>
        <w:jc w:val="both"/>
        <w:rPr>
          <w:rFonts w:ascii="Calibri" w:hAnsi="Calibri" w:cs="Calibri"/>
          <w:sz w:val="24"/>
          <w:szCs w:val="24"/>
          <w:lang w:val="de-DE"/>
        </w:rPr>
      </w:pPr>
    </w:p>
    <w:p w14:paraId="2D273B23" w14:textId="4AA146EA" w:rsidR="00AC367A" w:rsidRPr="008178BF" w:rsidRDefault="00AC367A" w:rsidP="008178B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178BF">
        <w:rPr>
          <w:rFonts w:ascii="Calibri" w:hAnsi="Calibri" w:cs="Calibri"/>
          <w:b/>
          <w:bCs/>
          <w:sz w:val="24"/>
          <w:szCs w:val="24"/>
        </w:rPr>
        <w:t>Fazit</w:t>
      </w:r>
    </w:p>
    <w:p w14:paraId="7B1E918B" w14:textId="4DB142F6" w:rsidR="0080224C" w:rsidRPr="008178BF" w:rsidRDefault="00AC367A" w:rsidP="008178BF">
      <w:pPr>
        <w:jc w:val="both"/>
        <w:rPr>
          <w:rFonts w:ascii="Calibri" w:hAnsi="Calibri" w:cs="Calibri"/>
          <w:sz w:val="24"/>
          <w:szCs w:val="24"/>
        </w:rPr>
      </w:pPr>
      <w:r w:rsidRPr="008178BF">
        <w:rPr>
          <w:rFonts w:ascii="Calibri" w:hAnsi="Calibri" w:cs="Calibri"/>
          <w:sz w:val="24"/>
          <w:szCs w:val="24"/>
        </w:rPr>
        <w:t>Eine ganzheitliche Altersvorsorge für Zahnärzte kombiniert steuerliche Vorteile,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K</w:t>
      </w:r>
      <w:r w:rsidRPr="008178BF">
        <w:rPr>
          <w:rFonts w:ascii="Calibri" w:hAnsi="Calibri" w:cs="Calibri"/>
          <w:sz w:val="24"/>
          <w:szCs w:val="24"/>
        </w:rPr>
        <w:t>apitalmarkterträge und Praxiswerte. Die individuelle Strategie sollte regelmäßig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178BF">
        <w:rPr>
          <w:rFonts w:ascii="Calibri" w:hAnsi="Calibri" w:cs="Calibri"/>
          <w:sz w:val="24"/>
          <w:szCs w:val="24"/>
        </w:rPr>
        <w:t>überprüft und an Lebensphasen angepasst werden. So entsteht ein stabiles,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178BF">
        <w:rPr>
          <w:rFonts w:ascii="Calibri" w:hAnsi="Calibri" w:cs="Calibri"/>
          <w:sz w:val="24"/>
          <w:szCs w:val="24"/>
        </w:rPr>
        <w:t>wachstumsorientiertes Fundament für die Zukunft</w:t>
      </w:r>
      <w:r w:rsidRPr="008178BF">
        <w:rPr>
          <w:rFonts w:ascii="Calibri" w:hAnsi="Calibri" w:cs="Calibri"/>
          <w:sz w:val="24"/>
          <w:szCs w:val="24"/>
          <w:lang w:val="de-DE"/>
        </w:rPr>
        <w:t>. F</w:t>
      </w:r>
      <w:r w:rsidRPr="008178BF">
        <w:rPr>
          <w:rFonts w:ascii="Calibri" w:hAnsi="Calibri" w:cs="Calibri"/>
          <w:sz w:val="24"/>
          <w:szCs w:val="24"/>
        </w:rPr>
        <w:t>ür Praxisinhaber ebenso wie für</w:t>
      </w:r>
      <w:r w:rsidRPr="008178BF">
        <w:rPr>
          <w:rFonts w:ascii="Calibri" w:hAnsi="Calibri" w:cs="Calibri"/>
          <w:sz w:val="24"/>
          <w:szCs w:val="24"/>
          <w:lang w:val="de-DE"/>
        </w:rPr>
        <w:t xml:space="preserve"> </w:t>
      </w:r>
      <w:r w:rsidRPr="008178BF">
        <w:rPr>
          <w:rFonts w:ascii="Calibri" w:hAnsi="Calibri" w:cs="Calibri"/>
          <w:sz w:val="24"/>
          <w:szCs w:val="24"/>
        </w:rPr>
        <w:t>angestellte Zahnärzte.</w:t>
      </w:r>
    </w:p>
    <w:sectPr w:rsidR="0080224C" w:rsidRPr="008178BF" w:rsidSect="00AC367A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750BD"/>
    <w:multiLevelType w:val="hybridMultilevel"/>
    <w:tmpl w:val="E728A1FE"/>
    <w:lvl w:ilvl="0" w:tplc="8C725C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04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7A"/>
    <w:rsid w:val="00176E46"/>
    <w:rsid w:val="004A6B74"/>
    <w:rsid w:val="006F0D08"/>
    <w:rsid w:val="007446EA"/>
    <w:rsid w:val="0080224C"/>
    <w:rsid w:val="008178BF"/>
    <w:rsid w:val="008E0A7B"/>
    <w:rsid w:val="00AB1FA0"/>
    <w:rsid w:val="00AC367A"/>
    <w:rsid w:val="00E931F0"/>
    <w:rsid w:val="00E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B1FA"/>
  <w15:chartTrackingRefBased/>
  <w15:docId w15:val="{2186EF24-8A03-40AB-BB2B-830089BE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315</Words>
  <Characters>2532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Blüml</dc:creator>
  <cp:keywords/>
  <dc:description/>
  <cp:lastModifiedBy>Matthias Blüml</cp:lastModifiedBy>
  <cp:revision>2</cp:revision>
  <dcterms:created xsi:type="dcterms:W3CDTF">2025-10-15T15:28:00Z</dcterms:created>
  <dcterms:modified xsi:type="dcterms:W3CDTF">2025-10-17T07:17:00Z</dcterms:modified>
</cp:coreProperties>
</file>